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eastAsia="方正仿宋简体"/>
          <w:bCs/>
          <w:color w:val="000000" w:themeColor="text1"/>
          <w:kern w:val="0"/>
          <w:sz w:val="24"/>
        </w:rPr>
      </w:pPr>
      <w:r>
        <w:rPr>
          <w:rFonts w:hint="eastAsia" w:ascii="方正小标宋简体" w:eastAsia="方正小标宋简体"/>
          <w:bCs/>
          <w:color w:val="000000" w:themeColor="text1"/>
          <w:kern w:val="0"/>
          <w:sz w:val="36"/>
          <w:szCs w:val="36"/>
        </w:rPr>
        <w:t>“嘉陵江英才工程”</w:t>
      </w:r>
      <w:r>
        <w:rPr>
          <w:rFonts w:eastAsia="方正小标宋简体"/>
          <w:bCs/>
          <w:color w:val="000000" w:themeColor="text1"/>
          <w:kern w:val="0"/>
          <w:sz w:val="36"/>
          <w:szCs w:val="36"/>
          <w:lang w:bidi="zh-CN"/>
        </w:rPr>
        <w:t>2022</w:t>
      </w:r>
      <w:r>
        <w:rPr>
          <w:rFonts w:eastAsia="方正小标宋简体"/>
          <w:bCs/>
          <w:color w:val="000000" w:themeColor="text1"/>
          <w:kern w:val="0"/>
          <w:sz w:val="36"/>
          <w:szCs w:val="36"/>
        </w:rPr>
        <w:t>年度引才需求信息表（</w:t>
      </w:r>
      <w:r>
        <w:rPr>
          <w:rFonts w:hint="eastAsia" w:eastAsia="方正小标宋简体"/>
          <w:bCs/>
          <w:color w:val="000000" w:themeColor="text1"/>
          <w:kern w:val="0"/>
          <w:sz w:val="36"/>
          <w:szCs w:val="36"/>
        </w:rPr>
        <w:t>三</w:t>
      </w:r>
      <w:r>
        <w:rPr>
          <w:rFonts w:eastAsia="方正小标宋简体"/>
          <w:bCs/>
          <w:color w:val="000000" w:themeColor="text1"/>
          <w:kern w:val="0"/>
          <w:sz w:val="36"/>
          <w:szCs w:val="36"/>
        </w:rPr>
        <w:t>）</w:t>
      </w:r>
    </w:p>
    <w:p>
      <w:pPr>
        <w:pStyle w:val="2"/>
        <w:spacing w:line="300" w:lineRule="exact"/>
        <w:rPr>
          <w:rFonts w:ascii="Times New Roman" w:hAnsi="Times New Roman" w:eastAsia="方正仿宋简体" w:cs="Times New Roman"/>
          <w:color w:val="000000" w:themeColor="text1"/>
          <w:sz w:val="24"/>
          <w:szCs w:val="24"/>
          <w:lang w:val="en-US"/>
        </w:rPr>
      </w:pPr>
    </w:p>
    <w:tbl>
      <w:tblPr>
        <w:tblStyle w:val="10"/>
        <w:tblW w:w="14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479"/>
        <w:gridCol w:w="1755"/>
        <w:gridCol w:w="910"/>
        <w:gridCol w:w="1867"/>
        <w:gridCol w:w="19"/>
        <w:gridCol w:w="911"/>
        <w:gridCol w:w="1081"/>
        <w:gridCol w:w="1440"/>
        <w:gridCol w:w="981"/>
        <w:gridCol w:w="277"/>
        <w:gridCol w:w="725"/>
        <w:gridCol w:w="992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单位名称</w:t>
            </w:r>
          </w:p>
        </w:tc>
        <w:tc>
          <w:tcPr>
            <w:tcW w:w="3234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南充文化旅游职业学院</w:t>
            </w:r>
          </w:p>
        </w:tc>
        <w:tc>
          <w:tcPr>
            <w:tcW w:w="91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单位类别</w:t>
            </w:r>
          </w:p>
        </w:tc>
        <w:tc>
          <w:tcPr>
            <w:tcW w:w="1867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事业单位</w:t>
            </w:r>
          </w:p>
        </w:tc>
        <w:tc>
          <w:tcPr>
            <w:tcW w:w="93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网址</w:t>
            </w:r>
          </w:p>
        </w:tc>
        <w:tc>
          <w:tcPr>
            <w:tcW w:w="252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"http://www.ncvcct.com" </w:instrText>
            </w:r>
            <w:r>
              <w:fldChar w:fldCharType="separate"/>
            </w:r>
            <w:r>
              <w:rPr>
                <w:rStyle w:val="15"/>
                <w:rFonts w:eastAsia="方正仿宋简体"/>
                <w:bCs/>
                <w:color w:val="000000" w:themeColor="text1"/>
                <w:kern w:val="0"/>
                <w:sz w:val="24"/>
                <w:u w:val="none"/>
              </w:rPr>
              <w:t>www.ncvcct.com</w:t>
            </w:r>
            <w:r>
              <w:rPr>
                <w:rStyle w:val="15"/>
                <w:rFonts w:eastAsia="方正仿宋简体"/>
                <w:bCs/>
                <w:color w:val="000000" w:themeColor="text1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981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邮政</w:t>
            </w: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编码</w:t>
            </w:r>
          </w:p>
        </w:tc>
        <w:tc>
          <w:tcPr>
            <w:tcW w:w="3346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637400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联系人</w:t>
            </w:r>
          </w:p>
        </w:tc>
        <w:tc>
          <w:tcPr>
            <w:tcW w:w="3234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谭冬梅</w:t>
            </w:r>
          </w:p>
        </w:tc>
        <w:tc>
          <w:tcPr>
            <w:tcW w:w="91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1867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0817-6632788</w:t>
            </w:r>
          </w:p>
        </w:tc>
        <w:tc>
          <w:tcPr>
            <w:tcW w:w="930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E-mail</w:t>
            </w:r>
          </w:p>
        </w:tc>
        <w:tc>
          <w:tcPr>
            <w:tcW w:w="252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ncwlrsc@163.com</w:t>
            </w:r>
          </w:p>
        </w:tc>
        <w:tc>
          <w:tcPr>
            <w:tcW w:w="981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地址</w:t>
            </w:r>
          </w:p>
        </w:tc>
        <w:tc>
          <w:tcPr>
            <w:tcW w:w="3346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四川省南充市阆中市</w:t>
            </w: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河东大道</w:t>
            </w: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07</w:t>
            </w: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单位简介</w:t>
            </w:r>
          </w:p>
        </w:tc>
        <w:tc>
          <w:tcPr>
            <w:tcW w:w="13789" w:type="dxa"/>
            <w:gridSpan w:val="1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ind w:firstLine="470" w:firstLineChars="200"/>
              <w:jc w:val="lef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南充文化旅游职业学院建成于2020年5月，是一所由南充市人民政府举办的公办普通高等学校，学院占地1000余亩，总建筑面积33万平方米，总投资20亿元，学院坐落在全国历史文化名城、中国四大古城之一、国家5A级旅游景区阆中。学院现有专任教师近300人，在校学生5100余人，学院坚持“立德树人、协调共融、开放合作、改革创新”的办学理念，科学构建人才培养模式，积极探索“1+X”证书试点，深入开展校企合作、产教融合，致力培养高素质复合型文旅精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岗位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专业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要求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要求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其他要求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需求</w:t>
            </w: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人数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引进</w:t>
            </w: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方式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黑体简体" w:eastAsia="方正黑体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方正黑体简体" w:eastAsia="方正黑体简体"/>
                <w:bCs/>
                <w:color w:val="000000" w:themeColor="text1"/>
                <w:kern w:val="0"/>
                <w:sz w:val="24"/>
              </w:rPr>
              <w:t>提供薪酬、生活待遇或其他优惠条件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计算机教师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本科专业：计算机科学与技术、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电子与计算机工程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、现代教育技术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硕士研究生专业：计算机应用技术、计算机科学与技术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</w:t>
            </w:r>
            <w:r>
              <w:rPr>
                <w:rStyle w:val="24"/>
                <w:rFonts w:ascii="Times New Roman" w:hAnsi="Times New Roman" w:cs="Times New Roman"/>
                <w:b/>
                <w:bCs/>
                <w:color w:val="000000" w:themeColor="text1"/>
              </w:rPr>
              <w:t>40</w:t>
            </w: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b/>
                <w:bCs/>
                <w:color w:val="000000" w:themeColor="text1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英语教师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本科专业：英语、商务英语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硕士研究生专业：英语教育、英语语言文学、英语笔译、英语口译、学科教学（英语）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 w:val="0"/>
                <w:bCs/>
                <w:color w:val="000000" w:themeColor="text1"/>
                <w:kern w:val="0"/>
                <w:sz w:val="24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</w:t>
            </w:r>
            <w:r>
              <w:rPr>
                <w:rStyle w:val="24"/>
                <w:rFonts w:ascii="Times New Roman" w:hAnsi="Times New Roman" w:cs="Times New Roman"/>
                <w:b/>
                <w:bCs/>
                <w:color w:val="000000" w:themeColor="text1"/>
              </w:rPr>
              <w:t>40</w:t>
            </w: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b/>
                <w:bCs/>
                <w:color w:val="000000" w:themeColor="text1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思政教师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本科专业：思想政治教育、马克思主义理论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硕士研究生专业：马克思主义理论、马克思主义基本原理、马克思主义中国化研究、中国近现代史、思想政治教育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 w:val="0"/>
                <w:bCs/>
                <w:color w:val="000000" w:themeColor="text1"/>
                <w:kern w:val="0"/>
                <w:sz w:val="24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</w:t>
            </w:r>
            <w:r>
              <w:rPr>
                <w:rStyle w:val="24"/>
                <w:rFonts w:ascii="Times New Roman" w:hAnsi="Times New Roman" w:cs="Times New Roman"/>
                <w:b/>
                <w:bCs/>
                <w:color w:val="000000" w:themeColor="text1"/>
              </w:rPr>
              <w:t>40</w:t>
            </w: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b/>
                <w:bCs/>
                <w:color w:val="000000" w:themeColor="text1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心理健康教育教师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心理学、应用心理学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；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心理学、应用心理学、发展与教育心理学、基础心理学、健康心理学、心理健康教育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体育教师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本科专业：体育教育、社会体育指导与管理、休闲体育、武术与民族传统体育、运动训练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硕士研究生专业：体育教育训练学、体育学、体育人文社会学、运动人体科学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会计专业教师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会计、会计学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、财务会计教育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会计、会计学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旅游酒店专业教师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本科专业：旅游管理、旅游管理与服务教育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硕士研究生专业：旅游管理、</w:t>
            </w: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酒店管理学</w:t>
            </w: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、饭店管理、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会展管理、会展与节事管理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市场营销专业教师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本科专业：市场营销、市场营销教育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市场营销、市场营销管理、市场营销学、营销管理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、商业大数据分析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电子商务专业教师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本科专业：电子商务、电子商务及法律、跨境电子商务、经济学、商务经济学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硕士研究生专业：国际商务、商业大数据分析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10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物流管理专业教师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本科专业：物流管理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硕士研究生专业：物流工程与管理、物流管理、物流管理与电子商务、物流与供应链管理、现代物流与供应链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11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新闻传播学教师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本科专业：新闻学、国际新闻与传播、全媒体新闻采编与制作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硕士研究生专业：新闻传播学、新闻学、传播学、新闻与传播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12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法律法规教师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本科专业：电子商务及法律、法律、法学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硕士研究生专业：法学、经济法学、民商法学、法律（法学）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副高级职称（高级讲师、副教授）及以上</w:t>
            </w: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本科及以上学历且取得相应学位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年龄不超过40周岁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13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思政教师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马克思主义理论、马克思主义基本原理、马克思主义中国化研究、思想政治教育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14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计算机教师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计算机科学与技术、计算机应用技术、计算机软件与理论、软件工程、软件工程技术、软件服务工程、软件工程理论与方法、应用软件工程、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网络空间安全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、网络信息安全、网络安全技术与工程、信息安全、网络安全、大数据科学与应用、大数据统计、物联网工程、物联网工程与技术、物联网技术、智能科学与技术、通信工程、人工智能、数据科学和信息技术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15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心理健康</w:t>
            </w:r>
          </w:p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心理学、应用心理学、基础心理学、健康心理学、应用心理、心理健康教育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16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体育舞蹈</w:t>
            </w:r>
          </w:p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体育舞蹈学、运动舞蹈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、体育教育训练学、体育教学、运动训练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17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运动生理康复教师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运动人体科学、运动康复、</w:t>
            </w:r>
            <w:r>
              <w:rPr>
                <w:rFonts w:eastAsia="方正仿宋简体"/>
                <w:bCs/>
                <w:color w:val="000000" w:themeColor="text1"/>
                <w:sz w:val="24"/>
              </w:rPr>
              <w:t>体育教育训练学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、康复医学与理疗学、针灸推拿学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18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会展专业教师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酒店管理学</w:t>
            </w: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、饭店管理、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会展管理、会展与节事管理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19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旅游规划教师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风景园林学、景观规划、城乡规划学、城市规划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20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b/>
                <w:bCs/>
                <w:color w:val="000000" w:themeColor="text1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研学旅行专业教师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人文地理学、民俗学、职业技术教育（旅游）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21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b/>
                <w:bCs/>
                <w:color w:val="000000" w:themeColor="text1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烹饪工艺与营养专业教师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研究生专业不限，本科专业须为：烹饪与营养教育、烹饪与餐饮管理；</w:t>
            </w:r>
          </w:p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专科专业须为:烹饪工艺与营养、西式烹饪工艺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22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设计</w:t>
            </w:r>
            <w:r>
              <w:rPr>
                <w:rStyle w:val="24"/>
                <w:rFonts w:hint="eastAsia"/>
                <w:b/>
                <w:bCs/>
                <w:color w:val="000000" w:themeColor="text1"/>
              </w:rPr>
              <w:t>专业</w:t>
            </w: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研究生专业：艺术设计、设计学、美术学；本科专业须为：产品设计、工艺美术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23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数字媒体艺术设计教师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研究生专业不限，本科专业须为:广播电视编导、数字媒体艺术、影视摄影与制作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24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公共文化服务与管理教师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公共事业管理、文化产业管理、文化创意产业管理、文化管理、文化传播与管理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25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b/>
                <w:bCs/>
                <w:color w:val="000000" w:themeColor="text1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电子商务专业教师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国际商务、国际贸易学、电子商务、工商管理、市场营销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26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b/>
                <w:bCs/>
                <w:color w:val="000000" w:themeColor="text1"/>
              </w:rPr>
            </w:pPr>
            <w:r>
              <w:rPr>
                <w:rStyle w:val="24"/>
                <w:b/>
                <w:bCs/>
                <w:color w:val="000000" w:themeColor="text1"/>
              </w:rPr>
              <w:t>会计</w:t>
            </w:r>
            <w:r>
              <w:rPr>
                <w:rStyle w:val="24"/>
                <w:rFonts w:hint="eastAsia"/>
                <w:b/>
                <w:bCs/>
                <w:color w:val="000000" w:themeColor="text1"/>
              </w:rPr>
              <w:t>专业</w:t>
            </w:r>
            <w:r>
              <w:rPr>
                <w:rStyle w:val="24"/>
                <w:b/>
                <w:bCs/>
                <w:color w:val="000000" w:themeColor="text1"/>
              </w:rPr>
              <w:t>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sz w:val="24"/>
              </w:rPr>
              <w:t>会计、会计学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27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舞台艺术教师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硕士研究生及以上专业不限，本科专业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须为</w:t>
            </w:r>
            <w:r>
              <w:rPr>
                <w:rFonts w:hint="eastAsia"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：表演、戏曲表演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28</w:t>
            </w:r>
          </w:p>
        </w:tc>
        <w:tc>
          <w:tcPr>
            <w:tcW w:w="147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编导教师</w:t>
            </w:r>
          </w:p>
        </w:tc>
        <w:tc>
          <w:tcPr>
            <w:tcW w:w="4551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硕士研究生及以上专业不限，本科专</w:t>
            </w:r>
            <w:r>
              <w:rPr>
                <w:rFonts w:hint="eastAsia"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须为</w:t>
            </w:r>
            <w:r>
              <w:rPr>
                <w:rFonts w:hint="eastAsia"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：舞蹈编导、舞蹈表演与编导</w:t>
            </w:r>
          </w:p>
        </w:tc>
        <w:tc>
          <w:tcPr>
            <w:tcW w:w="1992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29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舞蹈教师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硕士研究生及以上专业不限，本科专业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须为</w:t>
            </w:r>
            <w:r>
              <w:rPr>
                <w:rFonts w:hint="eastAsia"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：舞蹈表演、舞蹈教育、舞蹈学、流行舞蹈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30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书法教师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硕士研究生及以上专业不限，本科专业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须为</w:t>
            </w:r>
            <w:r>
              <w:rPr>
                <w:rFonts w:hint="eastAsia"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：书法学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31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英语教师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英语语言文学、英语笔译、英语口译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32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新闻传播专业教师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新闻传播学、新闻学、传播学、新闻与传播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33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动画设计教师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动画艺术学、动画学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34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法律法规教师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法学、经济法学、民商法学、法律（法学）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35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婴幼儿托育专业教师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硕士研究生及以上专业不限，本科专业须为：护理学、临床医学、中西医临床医学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36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实训室管理员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硕士研究生及以上专业不限，本科专业须为：旅游管理、旅游管理与服务教育、教育技术学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37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图书馆管理员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硕士研究生及以上专业不限，本科专业须为：图书馆学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38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专业会计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硕士研究生及以上专业不限，本科专业须为：会计学、财务会计教育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39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宣传部职员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硕士研究生及以上专业不限，本科专业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须为</w:t>
            </w:r>
            <w:r>
              <w:rPr>
                <w:rFonts w:hint="eastAsia"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影视摄影与制作、摄影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40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办公室职员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硕士研究生及以上专业不限，本科专业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须为</w:t>
            </w:r>
            <w:r>
              <w:rPr>
                <w:rFonts w:hint="eastAsia" w:ascii="方正仿宋简体" w:hAnsi="方正仿宋简体" w:eastAsia="方正仿宋简体" w:cs="方正仿宋简体"/>
                <w:bCs/>
                <w:color w:val="000000" w:themeColor="text1"/>
                <w:sz w:val="24"/>
                <w:shd w:val="clear" w:color="auto" w:fill="FFFFFF"/>
              </w:rPr>
              <w:t>：</w:t>
            </w: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汉语言文学、汉语言、新闻学、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98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宋体"/>
                <w:bCs/>
                <w:color w:val="000000" w:themeColor="text1"/>
                <w:kern w:val="0"/>
                <w:sz w:val="24"/>
              </w:rPr>
              <w:t>41</w:t>
            </w:r>
          </w:p>
        </w:tc>
        <w:tc>
          <w:tcPr>
            <w:tcW w:w="1479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政治辅导员</w:t>
            </w:r>
          </w:p>
        </w:tc>
        <w:tc>
          <w:tcPr>
            <w:tcW w:w="4551" w:type="dxa"/>
            <w:gridSpan w:val="4"/>
            <w:vAlign w:val="center"/>
          </w:tcPr>
          <w:p>
            <w:pPr>
              <w:snapToGrid w:val="0"/>
              <w:spacing w:line="320" w:lineRule="exact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专业不限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</w:pPr>
            <w:r>
              <w:rPr>
                <w:rStyle w:val="24"/>
                <w:rFonts w:ascii="Times New Roman" w:cs="Times New Roman"/>
                <w:b/>
                <w:bCs/>
                <w:color w:val="000000" w:themeColor="text1"/>
              </w:rPr>
              <w:t>年龄不超过35周岁</w:t>
            </w:r>
            <w:r>
              <w:rPr>
                <w:rStyle w:val="24"/>
                <w:rFonts w:hint="eastAsia" w:ascii="Times New Roman" w:cs="Times New Roman"/>
                <w:b/>
                <w:bCs/>
                <w:color w:val="000000" w:themeColor="text1"/>
              </w:rPr>
              <w:t>；中共党员；男生16人，需入住男生宿舍；女生6人，需入住女生宿舍</w:t>
            </w:r>
          </w:p>
        </w:tc>
        <w:tc>
          <w:tcPr>
            <w:tcW w:w="725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eastAsia="方正仿宋简体"/>
                <w:bCs/>
                <w:color w:val="000000" w:themeColor="text1"/>
                <w:sz w:val="24"/>
              </w:rPr>
              <w:t>22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  <w:r>
              <w:rPr>
                <w:rFonts w:eastAsia="方正仿宋简体"/>
                <w:bCs/>
                <w:color w:val="000000" w:themeColor="text1"/>
                <w:kern w:val="0"/>
                <w:sz w:val="24"/>
              </w:rPr>
              <w:t>编制内刚性引进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eastAsia="方正仿宋简体"/>
                <w:bCs/>
                <w:color w:val="000000" w:themeColor="text1"/>
                <w:kern w:val="0"/>
                <w:sz w:val="24"/>
              </w:rPr>
            </w:pPr>
          </w:p>
        </w:tc>
      </w:tr>
    </w:tbl>
    <w:p>
      <w:pPr>
        <w:spacing w:line="80" w:lineRule="exact"/>
        <w:rPr>
          <w:color w:val="000000" w:themeColor="text1"/>
        </w:rPr>
      </w:pPr>
    </w:p>
    <w:p>
      <w:pPr>
        <w:pStyle w:val="2"/>
        <w:spacing w:line="300" w:lineRule="exact"/>
        <w:rPr>
          <w:rFonts w:ascii="Times New Roman" w:hAnsi="Times New Roman" w:eastAsia="方正仿宋简体" w:cs="Times New Roman"/>
          <w:color w:val="000000" w:themeColor="text1"/>
          <w:sz w:val="24"/>
          <w:szCs w:val="24"/>
          <w:lang w:val="en-US"/>
        </w:rPr>
      </w:pPr>
    </w:p>
    <w:p>
      <w:pPr>
        <w:rPr>
          <w:rFonts w:eastAsia="微软雅黑"/>
          <w:bCs/>
          <w:color w:val="000000" w:themeColor="text1"/>
          <w:szCs w:val="32"/>
          <w:lang w:val="zh-CN" w:bidi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134" w:right="1134" w:bottom="1134" w:left="1134" w:header="851" w:footer="851" w:gutter="0"/>
      <w:pgNumType w:start="0"/>
      <w:cols w:space="720" w:num="1"/>
      <w:titlePg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0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r>
                            <w:rPr>
                              <w:rStyle w:val="14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ascii="宋体" w:hAnsi="宋体" w:eastAsia="宋体"/>
                              <w:sz w:val="28"/>
                              <w:szCs w:val="28"/>
                            </w:rPr>
                            <w:t>38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7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3fsF9ABAACqAwAADgAAAGRycy9lMm9Eb2MueG1srVPNjtMwEL4j8Q6W&#10;7zRpkZYqaroCVYuQECAtPIDrOI0l/2nGbdIXgDfgxIU7z9XnYOwkXVgue+DizJ+/me/zZHM7WMNO&#10;ClB7V/PlouRMOekb7Q41//L57sWaM4zCNcJ4p2p+Vshvt8+fbfpQqZXvvGkUMAJxWPWh5l2MoSoK&#10;lJ2yAhc+KEfJ1oMVkVw4FA2IntCtKVZleVP0HpoAXipEiu7GJJ8Q4SmAvm21VDsvj1a5OKKCMiIS&#10;Jex0QL7N07atkvFj26KKzNScmMZ8UhOy9+ksthtRHUCETstpBPGUER5xskI7anqF2oko2BH0P1BW&#10;S/Do27iQ3hYjkawIsViWj7S570RQmQtJjeEqOv4/WPnh9AmYbmgTOHPC0oNfvn+7/Ph1+fmVvSxf&#10;3SSF+oAVFd4HKo3DGz+k6imOFEzEhxZs+hIlRnnS93zVVw2RyXRpvVqvS0pJys0O4RQP1wNgfKu8&#10;ZcmoOdADZl3F6T3GsXQuSd2cv9PGUFxUxv0VIMwxovIWTLcTk3HiZMVhP0w09r45E7ueNqHmjhaf&#10;M/POkdBpaWYDZmM/G8cA+tDRoMs8JYbXx0gj5UlThxGWGCaHnjBzndYt7ciffq56+MW2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i3fsF9ABAACq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Style w:val="14"/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4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4"/>
                        <w:rFonts w:ascii="宋体" w:hAnsi="宋体" w:eastAsia="宋体"/>
                        <w:sz w:val="28"/>
                        <w:szCs w:val="28"/>
                      </w:rPr>
                      <w:t>38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4"/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901F62-5790-4918-9858-D11A3B59A790}">
  <ds:schemaRefs/>
</ds:datastoreItem>
</file>